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79D" w:rsidRDefault="0064679D" w:rsidP="0064679D">
      <w:pPr>
        <w:spacing w:line="480" w:lineRule="auto"/>
        <w:jc w:val="center"/>
        <w:rPr>
          <w:rFonts w:ascii="Times New Roman" w:hAnsi="Times New Roman" w:cs="Times New Roman"/>
          <w:sz w:val="24"/>
          <w:szCs w:val="24"/>
        </w:rPr>
      </w:pPr>
    </w:p>
    <w:p w:rsidR="0064679D" w:rsidRDefault="0064679D" w:rsidP="0064679D">
      <w:pPr>
        <w:spacing w:line="480" w:lineRule="auto"/>
        <w:jc w:val="center"/>
        <w:rPr>
          <w:rFonts w:ascii="Times New Roman" w:hAnsi="Times New Roman" w:cs="Times New Roman"/>
          <w:sz w:val="24"/>
          <w:szCs w:val="24"/>
        </w:rPr>
      </w:pPr>
    </w:p>
    <w:p w:rsidR="0064679D" w:rsidRDefault="0064679D" w:rsidP="0064679D">
      <w:pPr>
        <w:spacing w:line="480" w:lineRule="auto"/>
        <w:jc w:val="center"/>
        <w:rPr>
          <w:rFonts w:ascii="Times New Roman" w:hAnsi="Times New Roman" w:cs="Times New Roman"/>
          <w:sz w:val="24"/>
          <w:szCs w:val="24"/>
        </w:rPr>
      </w:pPr>
    </w:p>
    <w:p w:rsidR="0064679D" w:rsidRDefault="0064679D" w:rsidP="0064679D">
      <w:pPr>
        <w:spacing w:line="480" w:lineRule="auto"/>
        <w:jc w:val="center"/>
        <w:rPr>
          <w:rFonts w:ascii="Times New Roman" w:hAnsi="Times New Roman" w:cs="Times New Roman"/>
          <w:sz w:val="24"/>
          <w:szCs w:val="24"/>
        </w:rPr>
      </w:pPr>
    </w:p>
    <w:p w:rsidR="0064679D" w:rsidRDefault="0064679D" w:rsidP="0064679D">
      <w:pPr>
        <w:spacing w:line="480" w:lineRule="auto"/>
        <w:jc w:val="center"/>
        <w:rPr>
          <w:rFonts w:ascii="Times New Roman" w:hAnsi="Times New Roman" w:cs="Times New Roman"/>
          <w:sz w:val="24"/>
          <w:szCs w:val="24"/>
        </w:rPr>
      </w:pPr>
    </w:p>
    <w:p w:rsidR="0064679D" w:rsidRDefault="0064679D" w:rsidP="0064679D">
      <w:pPr>
        <w:spacing w:line="480" w:lineRule="auto"/>
        <w:jc w:val="center"/>
        <w:rPr>
          <w:rFonts w:ascii="Times New Roman" w:hAnsi="Times New Roman" w:cs="Times New Roman"/>
          <w:sz w:val="24"/>
          <w:szCs w:val="24"/>
        </w:rPr>
      </w:pPr>
    </w:p>
    <w:p w:rsidR="0064679D" w:rsidRDefault="0064679D" w:rsidP="0064679D">
      <w:pPr>
        <w:spacing w:line="480" w:lineRule="auto"/>
        <w:jc w:val="center"/>
        <w:rPr>
          <w:rFonts w:ascii="Times New Roman" w:hAnsi="Times New Roman" w:cs="Times New Roman"/>
          <w:sz w:val="24"/>
          <w:szCs w:val="24"/>
        </w:rPr>
      </w:pPr>
    </w:p>
    <w:p w:rsidR="0080412D" w:rsidRDefault="00B463ED" w:rsidP="0064679D">
      <w:pPr>
        <w:spacing w:line="480" w:lineRule="auto"/>
        <w:jc w:val="center"/>
        <w:rPr>
          <w:rFonts w:ascii="Times New Roman" w:hAnsi="Times New Roman" w:cs="Times New Roman"/>
          <w:sz w:val="24"/>
          <w:szCs w:val="24"/>
        </w:rPr>
      </w:pPr>
      <w:r>
        <w:rPr>
          <w:rFonts w:ascii="Times New Roman" w:hAnsi="Times New Roman" w:cs="Times New Roman"/>
          <w:sz w:val="24"/>
          <w:szCs w:val="24"/>
        </w:rPr>
        <w:t>Sustainability Performance</w:t>
      </w:r>
    </w:p>
    <w:p w:rsidR="0064679D" w:rsidRDefault="00B463ED" w:rsidP="006467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4679D" w:rsidRDefault="00B463ED" w:rsidP="006467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4679D" w:rsidRPr="0064679D" w:rsidRDefault="0064679D" w:rsidP="0064679D">
      <w:pPr>
        <w:rPr>
          <w:rFonts w:ascii="Times New Roman" w:hAnsi="Times New Roman" w:cs="Times New Roman"/>
          <w:sz w:val="24"/>
          <w:szCs w:val="24"/>
        </w:rPr>
      </w:pPr>
    </w:p>
    <w:p w:rsidR="0064679D" w:rsidRPr="0064679D" w:rsidRDefault="0064679D" w:rsidP="0064679D">
      <w:pPr>
        <w:rPr>
          <w:rFonts w:ascii="Times New Roman" w:hAnsi="Times New Roman" w:cs="Times New Roman"/>
          <w:sz w:val="24"/>
          <w:szCs w:val="24"/>
        </w:rPr>
      </w:pPr>
    </w:p>
    <w:p w:rsidR="0064679D" w:rsidRPr="0064679D" w:rsidRDefault="0064679D" w:rsidP="0064679D">
      <w:pPr>
        <w:rPr>
          <w:rFonts w:ascii="Times New Roman" w:hAnsi="Times New Roman" w:cs="Times New Roman"/>
          <w:sz w:val="24"/>
          <w:szCs w:val="24"/>
        </w:rPr>
      </w:pPr>
    </w:p>
    <w:p w:rsidR="0064679D" w:rsidRPr="0064679D" w:rsidRDefault="0064679D" w:rsidP="0064679D">
      <w:pPr>
        <w:rPr>
          <w:rFonts w:ascii="Times New Roman" w:hAnsi="Times New Roman" w:cs="Times New Roman"/>
          <w:sz w:val="24"/>
          <w:szCs w:val="24"/>
        </w:rPr>
      </w:pPr>
    </w:p>
    <w:p w:rsidR="0064679D" w:rsidRP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Default="00B463ED" w:rsidP="006467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Sustainability Performance</w:t>
      </w:r>
    </w:p>
    <w:p w:rsidR="00F43100" w:rsidRDefault="00B463ED" w:rsidP="00727C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Improving the sustainability performance of supply chains is often a daunting task due to the complexity of the communication framework. Firstly, managers must comprehend the opportunities and threats in the business environment. In this regard, the suppl</w:t>
      </w:r>
      <w:r>
        <w:rPr>
          <w:rFonts w:ascii="Times New Roman" w:hAnsi="Times New Roman" w:cs="Times New Roman"/>
          <w:sz w:val="24"/>
          <w:szCs w:val="24"/>
        </w:rPr>
        <w:t xml:space="preserve">y chains should be mapped to identify opportunities that are most important to the company and result in optimal outcomes. Secondly, companies out to set sustainability objectives </w:t>
      </w:r>
      <w:r w:rsidR="000E213A">
        <w:rPr>
          <w:rFonts w:ascii="Times New Roman" w:hAnsi="Times New Roman" w:cs="Times New Roman"/>
          <w:sz w:val="24"/>
          <w:szCs w:val="24"/>
        </w:rPr>
        <w:t xml:space="preserve">to ensure that procurement activities align with the expectations of the customers and the team. Thirdly, the </w:t>
      </w:r>
      <w:r w:rsidR="00A06E18">
        <w:rPr>
          <w:rFonts w:ascii="Times New Roman" w:hAnsi="Times New Roman" w:cs="Times New Roman"/>
          <w:sz w:val="24"/>
          <w:szCs w:val="24"/>
        </w:rPr>
        <w:t>goals should be quantified to determine the progress of sustainability efforts. In case of defects, the managers can adopt corrective meas</w:t>
      </w:r>
      <w:r w:rsidR="00DC258E">
        <w:rPr>
          <w:rFonts w:ascii="Times New Roman" w:hAnsi="Times New Roman" w:cs="Times New Roman"/>
          <w:sz w:val="24"/>
          <w:szCs w:val="24"/>
        </w:rPr>
        <w:t>ures to ensure that the desired results are achieved. Fourthly, firms should establish collaboration with their suppliers, to mitigate malpra</w:t>
      </w:r>
      <w:r w:rsidR="00A15BDB">
        <w:rPr>
          <w:rFonts w:ascii="Times New Roman" w:hAnsi="Times New Roman" w:cs="Times New Roman"/>
          <w:sz w:val="24"/>
          <w:szCs w:val="24"/>
        </w:rPr>
        <w:t>ctices within the chain such as trading irregularities</w:t>
      </w:r>
      <w:r w:rsidR="0016033A">
        <w:rPr>
          <w:rFonts w:ascii="Times New Roman" w:hAnsi="Times New Roman" w:cs="Times New Roman"/>
          <w:sz w:val="24"/>
          <w:szCs w:val="24"/>
        </w:rPr>
        <w:t xml:space="preserve"> (BSR, 2011)</w:t>
      </w:r>
      <w:r w:rsidR="00A15BDB">
        <w:rPr>
          <w:rFonts w:ascii="Times New Roman" w:hAnsi="Times New Roman" w:cs="Times New Roman"/>
          <w:sz w:val="24"/>
          <w:szCs w:val="24"/>
        </w:rPr>
        <w:t>. Suppliers interact more often with the customers; therefore, the company developing innovative pathways gives them a competitive advantage,</w:t>
      </w:r>
    </w:p>
    <w:p w:rsidR="00581D0A" w:rsidRDefault="00B463ED" w:rsidP="00F431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all companies should ensure that their operations within the supply chains </w:t>
      </w:r>
      <w:r w:rsidR="00A90878">
        <w:rPr>
          <w:rFonts w:ascii="Times New Roman" w:hAnsi="Times New Roman" w:cs="Times New Roman"/>
          <w:sz w:val="24"/>
          <w:szCs w:val="24"/>
        </w:rPr>
        <w:t>are transparent to mitigate fraud. From a performance standpoint, managers should identify vulnerabilities within the performance roadmap such as corrupt traders. Consequently, companies can shorten the supply chain and reinforce the system to enhance sustainability.</w:t>
      </w:r>
      <w:r>
        <w:rPr>
          <w:rFonts w:ascii="Times New Roman" w:hAnsi="Times New Roman" w:cs="Times New Roman"/>
          <w:sz w:val="24"/>
          <w:szCs w:val="24"/>
        </w:rPr>
        <w:t xml:space="preserve"> Transparency and accountability enable inter-organizational cooperation to ensure the future of subsequent generations (Fish, 2014).</w:t>
      </w:r>
      <w:r w:rsidR="00A90878">
        <w:rPr>
          <w:rFonts w:ascii="Times New Roman" w:hAnsi="Times New Roman" w:cs="Times New Roman"/>
          <w:sz w:val="24"/>
          <w:szCs w:val="24"/>
        </w:rPr>
        <w:t xml:space="preserve"> The Information technology sector should carry out environmental stewardship to evaluate the efficacy of the supply chain. In this regard, managers are required to tailor the performance infrastructure of the supply </w:t>
      </w:r>
      <w:r>
        <w:rPr>
          <w:rFonts w:ascii="Times New Roman" w:hAnsi="Times New Roman" w:cs="Times New Roman"/>
          <w:sz w:val="24"/>
          <w:szCs w:val="24"/>
        </w:rPr>
        <w:t>is flexible enough to change with the evolving technolog</w:t>
      </w:r>
      <w:r>
        <w:rPr>
          <w:rFonts w:ascii="Times New Roman" w:hAnsi="Times New Roman" w:cs="Times New Roman"/>
          <w:sz w:val="24"/>
          <w:szCs w:val="24"/>
        </w:rPr>
        <w:t xml:space="preserve">ical industry (Kashmanian, 2015). The suppliers should invest in cost-saving </w:t>
      </w:r>
      <w:r w:rsidR="00710611">
        <w:rPr>
          <w:rFonts w:ascii="Times New Roman" w:hAnsi="Times New Roman" w:cs="Times New Roman"/>
          <w:sz w:val="24"/>
          <w:szCs w:val="24"/>
        </w:rPr>
        <w:t xml:space="preserve">platform using minimal amounts of input to ensure maximum gains. Saving cots encompass consumption energy and water efficiency to prevent wastage.  </w:t>
      </w:r>
    </w:p>
    <w:p w:rsidR="00581D0A" w:rsidRDefault="00B463ED" w:rsidP="00727C3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581D0A" w:rsidRDefault="00B463ED" w:rsidP="00F43100">
      <w:pPr>
        <w:spacing w:line="480" w:lineRule="auto"/>
        <w:rPr>
          <w:rFonts w:ascii="Times New Roman" w:hAnsi="Times New Roman" w:cs="Times New Roman"/>
          <w:sz w:val="24"/>
          <w:szCs w:val="24"/>
        </w:rPr>
      </w:pPr>
      <w:r>
        <w:rPr>
          <w:rFonts w:ascii="Times New Roman" w:hAnsi="Times New Roman" w:cs="Times New Roman"/>
          <w:sz w:val="24"/>
          <w:szCs w:val="24"/>
        </w:rPr>
        <w:t xml:space="preserve">BSR. (2011). Maximizing benefits from sustainable supply chain. </w:t>
      </w:r>
      <w:r w:rsidR="00F35591">
        <w:rPr>
          <w:rFonts w:ascii="Times New Roman" w:hAnsi="Times New Roman" w:cs="Times New Roman"/>
          <w:sz w:val="24"/>
          <w:szCs w:val="24"/>
        </w:rPr>
        <w:t>1-10.</w:t>
      </w:r>
    </w:p>
    <w:p w:rsidR="00F35591" w:rsidRDefault="00B463ED" w:rsidP="00F43100">
      <w:pPr>
        <w:spacing w:line="480" w:lineRule="auto"/>
        <w:rPr>
          <w:rFonts w:ascii="Times New Roman" w:hAnsi="Times New Roman" w:cs="Times New Roman"/>
          <w:sz w:val="24"/>
          <w:szCs w:val="24"/>
        </w:rPr>
      </w:pPr>
      <w:r>
        <w:rPr>
          <w:rFonts w:ascii="Times New Roman" w:hAnsi="Times New Roman" w:cs="Times New Roman"/>
          <w:sz w:val="24"/>
          <w:szCs w:val="24"/>
        </w:rPr>
        <w:t xml:space="preserve">Fish, L. A. (2014). Managerial best practices to promote sustainable supply chain management </w:t>
      </w:r>
    </w:p>
    <w:p w:rsidR="00F35591" w:rsidRDefault="00B463ED" w:rsidP="00F431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And new product development. </w:t>
      </w:r>
    </w:p>
    <w:p w:rsidR="00F35591" w:rsidRDefault="00B463ED"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r>
        <w:rPr>
          <w:rFonts w:ascii="Times New Roman" w:hAnsi="Times New Roman" w:cs="Times New Roman"/>
          <w:sz w:val="24"/>
          <w:szCs w:val="24"/>
        </w:rPr>
        <w:tab/>
        <w:t>doi: 10.5772/59581</w:t>
      </w:r>
    </w:p>
    <w:p w:rsidR="00F35591" w:rsidRDefault="00B463ED"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r>
        <w:rPr>
          <w:rFonts w:ascii="Times New Roman" w:hAnsi="Times New Roman" w:cs="Times New Roman"/>
          <w:sz w:val="24"/>
          <w:szCs w:val="24"/>
        </w:rPr>
        <w:t xml:space="preserve">Kashmanian, R. M. Building sustainable </w:t>
      </w:r>
      <w:r>
        <w:rPr>
          <w:rFonts w:ascii="Times New Roman" w:hAnsi="Times New Roman" w:cs="Times New Roman"/>
          <w:sz w:val="24"/>
          <w:szCs w:val="24"/>
        </w:rPr>
        <w:t>supply chain: key elements. 24(3) Wiley Online</w:t>
      </w:r>
    </w:p>
    <w:p w:rsidR="00F35591" w:rsidRDefault="00B463ED"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r>
        <w:rPr>
          <w:rFonts w:ascii="Times New Roman" w:hAnsi="Times New Roman" w:cs="Times New Roman"/>
          <w:sz w:val="24"/>
          <w:szCs w:val="24"/>
        </w:rPr>
        <w:tab/>
        <w:t>library.</w:t>
      </w:r>
    </w:p>
    <w:p w:rsidR="00F35591" w:rsidRDefault="00B463ED"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7" w:history="1">
        <w:r w:rsidRPr="00655BD5">
          <w:rPr>
            <w:rStyle w:val="Hyperlink"/>
            <w:rFonts w:ascii="Times New Roman" w:hAnsi="Times New Roman" w:cs="Times New Roman"/>
            <w:sz w:val="24"/>
            <w:szCs w:val="24"/>
          </w:rPr>
          <w:t>https://doi.org/10.1002/tqem.21393</w:t>
        </w:r>
      </w:hyperlink>
    </w:p>
    <w:p w:rsidR="00F35591" w:rsidRDefault="00F35591"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p>
    <w:p w:rsidR="00F35591" w:rsidRDefault="00F35591"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p>
    <w:p w:rsidR="00F35591" w:rsidRDefault="00B463ED" w:rsidP="00F35591">
      <w:pPr>
        <w:tabs>
          <w:tab w:val="left" w:pos="720"/>
          <w:tab w:val="left" w:pos="1440"/>
          <w:tab w:val="left" w:pos="2160"/>
          <w:tab w:val="left" w:pos="2880"/>
          <w:tab w:val="left" w:pos="345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A15BDB" w:rsidRDefault="00B463ED" w:rsidP="00F4310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Default="0064679D" w:rsidP="0064679D">
      <w:pPr>
        <w:rPr>
          <w:rFonts w:ascii="Times New Roman" w:hAnsi="Times New Roman" w:cs="Times New Roman"/>
          <w:sz w:val="24"/>
          <w:szCs w:val="24"/>
        </w:rPr>
      </w:pPr>
    </w:p>
    <w:p w:rsidR="0064679D" w:rsidRPr="0064679D" w:rsidRDefault="0064679D" w:rsidP="0064679D">
      <w:pPr>
        <w:rPr>
          <w:rFonts w:ascii="Times New Roman" w:hAnsi="Times New Roman" w:cs="Times New Roman"/>
          <w:sz w:val="24"/>
          <w:szCs w:val="24"/>
        </w:rPr>
      </w:pPr>
    </w:p>
    <w:sectPr w:rsidR="0064679D" w:rsidRPr="0064679D" w:rsidSect="0064679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3ED" w:rsidRDefault="00B463ED">
      <w:pPr>
        <w:spacing w:after="0" w:line="240" w:lineRule="auto"/>
      </w:pPr>
      <w:r>
        <w:separator/>
      </w:r>
    </w:p>
  </w:endnote>
  <w:endnote w:type="continuationSeparator" w:id="0">
    <w:p w:rsidR="00B463ED" w:rsidRDefault="00B46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3ED" w:rsidRDefault="00B463ED">
      <w:pPr>
        <w:spacing w:after="0" w:line="240" w:lineRule="auto"/>
      </w:pPr>
      <w:r>
        <w:separator/>
      </w:r>
    </w:p>
  </w:footnote>
  <w:footnote w:type="continuationSeparator" w:id="0">
    <w:p w:rsidR="00B463ED" w:rsidRDefault="00B463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79D" w:rsidRPr="0064679D" w:rsidRDefault="00B463ED" w:rsidP="0064679D">
    <w:pPr>
      <w:pStyle w:val="Header"/>
      <w:spacing w:line="480" w:lineRule="auto"/>
      <w:rPr>
        <w:rFonts w:ascii="Times New Roman" w:hAnsi="Times New Roman" w:cs="Times New Roman"/>
        <w:sz w:val="24"/>
        <w:szCs w:val="24"/>
      </w:rPr>
    </w:pPr>
    <w:r w:rsidRPr="0064679D">
      <w:rPr>
        <w:rFonts w:ascii="Times New Roman" w:hAnsi="Times New Roman" w:cs="Times New Roman"/>
        <w:sz w:val="24"/>
        <w:szCs w:val="24"/>
      </w:rPr>
      <w:t>SUSTAINABILITY PERFORMANC</w:t>
    </w:r>
    <w:r w:rsidRPr="0064679D">
      <w:rPr>
        <w:rFonts w:ascii="Times New Roman" w:hAnsi="Times New Roman" w:cs="Times New Roman"/>
        <w:sz w:val="24"/>
        <w:szCs w:val="24"/>
      </w:rPr>
      <w: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4679D">
      <w:rPr>
        <w:rFonts w:ascii="Times New Roman" w:hAnsi="Times New Roman" w:cs="Times New Roman"/>
        <w:sz w:val="24"/>
        <w:szCs w:val="24"/>
      </w:rPr>
      <w:t xml:space="preserve"> </w:t>
    </w:r>
    <w:sdt>
      <w:sdtPr>
        <w:rPr>
          <w:rFonts w:ascii="Times New Roman" w:hAnsi="Times New Roman" w:cs="Times New Roman"/>
          <w:sz w:val="24"/>
          <w:szCs w:val="24"/>
        </w:rPr>
        <w:id w:val="-1072046281"/>
        <w:docPartObj>
          <w:docPartGallery w:val="Page Numbers (Top of Page)"/>
          <w:docPartUnique/>
        </w:docPartObj>
      </w:sdtPr>
      <w:sdtEndPr>
        <w:rPr>
          <w:noProof/>
        </w:rPr>
      </w:sdtEndPr>
      <w:sdtContent>
        <w:r w:rsidRPr="0064679D">
          <w:rPr>
            <w:rFonts w:ascii="Times New Roman" w:hAnsi="Times New Roman" w:cs="Times New Roman"/>
            <w:sz w:val="24"/>
            <w:szCs w:val="24"/>
          </w:rPr>
          <w:fldChar w:fldCharType="begin"/>
        </w:r>
        <w:r w:rsidRPr="0064679D">
          <w:rPr>
            <w:rFonts w:ascii="Times New Roman" w:hAnsi="Times New Roman" w:cs="Times New Roman"/>
            <w:sz w:val="24"/>
            <w:szCs w:val="24"/>
          </w:rPr>
          <w:instrText xml:space="preserve"> PAGE   \* MERGEFORMAT </w:instrText>
        </w:r>
        <w:r w:rsidRPr="0064679D">
          <w:rPr>
            <w:rFonts w:ascii="Times New Roman" w:hAnsi="Times New Roman" w:cs="Times New Roman"/>
            <w:sz w:val="24"/>
            <w:szCs w:val="24"/>
          </w:rPr>
          <w:fldChar w:fldCharType="separate"/>
        </w:r>
        <w:r w:rsidR="00727C3F">
          <w:rPr>
            <w:rFonts w:ascii="Times New Roman" w:hAnsi="Times New Roman" w:cs="Times New Roman"/>
            <w:noProof/>
            <w:sz w:val="24"/>
            <w:szCs w:val="24"/>
          </w:rPr>
          <w:t>3</w:t>
        </w:r>
        <w:r w:rsidRPr="0064679D">
          <w:rPr>
            <w:rFonts w:ascii="Times New Roman" w:hAnsi="Times New Roman" w:cs="Times New Roman"/>
            <w:noProof/>
            <w:sz w:val="24"/>
            <w:szCs w:val="24"/>
          </w:rPr>
          <w:fldChar w:fldCharType="end"/>
        </w:r>
      </w:sdtContent>
    </w:sdt>
  </w:p>
  <w:p w:rsidR="0064679D" w:rsidRDefault="006467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79D" w:rsidRPr="0064679D" w:rsidRDefault="00B463ED" w:rsidP="0064679D">
    <w:pPr>
      <w:pStyle w:val="Header"/>
      <w:spacing w:line="480" w:lineRule="auto"/>
      <w:rPr>
        <w:rFonts w:ascii="Times New Roman" w:hAnsi="Times New Roman" w:cs="Times New Roman"/>
        <w:sz w:val="24"/>
        <w:szCs w:val="24"/>
      </w:rPr>
    </w:pPr>
    <w:r w:rsidRPr="0064679D">
      <w:rPr>
        <w:rFonts w:ascii="Times New Roman" w:hAnsi="Times New Roman" w:cs="Times New Roman"/>
        <w:sz w:val="24"/>
        <w:szCs w:val="24"/>
      </w:rPr>
      <w:t>Running head: SUSTAINABILITY PERFORMANCE</w:t>
    </w:r>
    <w:r>
      <w:rPr>
        <w:rFonts w:ascii="Times New Roman" w:hAnsi="Times New Roman" w:cs="Times New Roman"/>
        <w:sz w:val="24"/>
        <w:szCs w:val="24"/>
      </w:rPr>
      <w:tab/>
    </w:r>
    <w:r>
      <w:rPr>
        <w:rFonts w:ascii="Times New Roman" w:hAnsi="Times New Roman" w:cs="Times New Roman"/>
        <w:sz w:val="24"/>
        <w:szCs w:val="24"/>
      </w:rPr>
      <w:tab/>
    </w:r>
    <w:r w:rsidRPr="0064679D">
      <w:rPr>
        <w:rFonts w:ascii="Times New Roman" w:hAnsi="Times New Roman" w:cs="Times New Roman"/>
        <w:sz w:val="24"/>
        <w:szCs w:val="24"/>
      </w:rPr>
      <w:t xml:space="preserve"> </w:t>
    </w:r>
    <w:sdt>
      <w:sdtPr>
        <w:rPr>
          <w:rFonts w:ascii="Times New Roman" w:hAnsi="Times New Roman" w:cs="Times New Roman"/>
          <w:sz w:val="24"/>
          <w:szCs w:val="24"/>
        </w:rPr>
        <w:id w:val="593518569"/>
        <w:docPartObj>
          <w:docPartGallery w:val="Page Numbers (Top of Page)"/>
          <w:docPartUnique/>
        </w:docPartObj>
      </w:sdtPr>
      <w:sdtEndPr>
        <w:rPr>
          <w:noProof/>
        </w:rPr>
      </w:sdtEndPr>
      <w:sdtContent>
        <w:r w:rsidRPr="0064679D">
          <w:rPr>
            <w:rFonts w:ascii="Times New Roman" w:hAnsi="Times New Roman" w:cs="Times New Roman"/>
            <w:sz w:val="24"/>
            <w:szCs w:val="24"/>
          </w:rPr>
          <w:fldChar w:fldCharType="begin"/>
        </w:r>
        <w:r w:rsidRPr="0064679D">
          <w:rPr>
            <w:rFonts w:ascii="Times New Roman" w:hAnsi="Times New Roman" w:cs="Times New Roman"/>
            <w:sz w:val="24"/>
            <w:szCs w:val="24"/>
          </w:rPr>
          <w:instrText xml:space="preserve"> PAGE   \* MERGEFORMAT </w:instrText>
        </w:r>
        <w:r w:rsidRPr="0064679D">
          <w:rPr>
            <w:rFonts w:ascii="Times New Roman" w:hAnsi="Times New Roman" w:cs="Times New Roman"/>
            <w:sz w:val="24"/>
            <w:szCs w:val="24"/>
          </w:rPr>
          <w:fldChar w:fldCharType="separate"/>
        </w:r>
        <w:r w:rsidR="00727C3F">
          <w:rPr>
            <w:rFonts w:ascii="Times New Roman" w:hAnsi="Times New Roman" w:cs="Times New Roman"/>
            <w:noProof/>
            <w:sz w:val="24"/>
            <w:szCs w:val="24"/>
          </w:rPr>
          <w:t>1</w:t>
        </w:r>
        <w:r w:rsidRPr="0064679D">
          <w:rPr>
            <w:rFonts w:ascii="Times New Roman" w:hAnsi="Times New Roman" w:cs="Times New Roman"/>
            <w:noProof/>
            <w:sz w:val="24"/>
            <w:szCs w:val="24"/>
          </w:rPr>
          <w:fldChar w:fldCharType="end"/>
        </w:r>
      </w:sdtContent>
    </w:sdt>
  </w:p>
  <w:p w:rsidR="0064679D" w:rsidRDefault="006467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79D"/>
    <w:rsid w:val="000049FC"/>
    <w:rsid w:val="000E213A"/>
    <w:rsid w:val="0016033A"/>
    <w:rsid w:val="001D2666"/>
    <w:rsid w:val="00581D0A"/>
    <w:rsid w:val="0064679D"/>
    <w:rsid w:val="00655BD5"/>
    <w:rsid w:val="00710611"/>
    <w:rsid w:val="00727C3F"/>
    <w:rsid w:val="0080412D"/>
    <w:rsid w:val="00A06E18"/>
    <w:rsid w:val="00A15BDB"/>
    <w:rsid w:val="00A90878"/>
    <w:rsid w:val="00B463ED"/>
    <w:rsid w:val="00BD4F4E"/>
    <w:rsid w:val="00DC258E"/>
    <w:rsid w:val="00F35591"/>
    <w:rsid w:val="00F4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79D"/>
  </w:style>
  <w:style w:type="paragraph" w:styleId="Footer">
    <w:name w:val="footer"/>
    <w:basedOn w:val="Normal"/>
    <w:link w:val="FooterChar"/>
    <w:uiPriority w:val="99"/>
    <w:unhideWhenUsed/>
    <w:rsid w:val="00646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79D"/>
  </w:style>
  <w:style w:type="character" w:styleId="Hyperlink">
    <w:name w:val="Hyperlink"/>
    <w:basedOn w:val="DefaultParagraphFont"/>
    <w:uiPriority w:val="99"/>
    <w:unhideWhenUsed/>
    <w:rsid w:val="00F355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79D"/>
  </w:style>
  <w:style w:type="paragraph" w:styleId="Footer">
    <w:name w:val="footer"/>
    <w:basedOn w:val="Normal"/>
    <w:link w:val="FooterChar"/>
    <w:uiPriority w:val="99"/>
    <w:unhideWhenUsed/>
    <w:rsid w:val="00646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79D"/>
  </w:style>
  <w:style w:type="character" w:styleId="Hyperlink">
    <w:name w:val="Hyperlink"/>
    <w:basedOn w:val="DefaultParagraphFont"/>
    <w:uiPriority w:val="99"/>
    <w:unhideWhenUsed/>
    <w:rsid w:val="00F355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2/tqem.2139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2019-03-17T20:53:00Z</dcterms:created>
  <dcterms:modified xsi:type="dcterms:W3CDTF">2019-03-17T22:13:00Z</dcterms:modified>
</cp:coreProperties>
</file>